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53A8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53A8D">
        <w:rPr>
          <w:rFonts w:ascii="Century" w:eastAsia="Calibri" w:hAnsi="Century"/>
          <w:b/>
          <w:bCs/>
          <w:sz w:val="32"/>
          <w:szCs w:val="36"/>
          <w:lang w:eastAsia="ru-RU"/>
        </w:rPr>
        <w:t>23/31-5872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53A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53A8D">
        <w:rPr>
          <w:rFonts w:ascii="Century" w:hAnsi="Century"/>
          <w:b/>
          <w:sz w:val="24"/>
          <w:szCs w:val="24"/>
        </w:rPr>
        <w:t>Дем’янчук Надії Луківні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53A8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53A8D">
        <w:rPr>
          <w:rFonts w:ascii="Century" w:hAnsi="Century"/>
          <w:b/>
          <w:sz w:val="24"/>
          <w:szCs w:val="24"/>
        </w:rPr>
        <w:t>вул. Кашарня, 10А,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53A8D">
        <w:rPr>
          <w:rFonts w:ascii="Century" w:hAnsi="Century"/>
          <w:sz w:val="24"/>
          <w:szCs w:val="24"/>
        </w:rPr>
        <w:t>Дем’янчук Надії Луківні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53A8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53A8D">
        <w:rPr>
          <w:rFonts w:ascii="Century" w:hAnsi="Century"/>
          <w:sz w:val="24"/>
          <w:szCs w:val="24"/>
        </w:rPr>
        <w:t>вул. Кашарня, 10А,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53A8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53A8D">
        <w:rPr>
          <w:rFonts w:ascii="Century" w:hAnsi="Century"/>
          <w:bCs/>
          <w:sz w:val="24"/>
          <w:szCs w:val="24"/>
        </w:rPr>
        <w:t>Дем’янчук Надії Луківні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53A8D">
        <w:rPr>
          <w:rFonts w:ascii="Century" w:hAnsi="Century"/>
          <w:bCs/>
          <w:sz w:val="24"/>
          <w:szCs w:val="24"/>
        </w:rPr>
        <w:t>0,1722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53A8D">
        <w:rPr>
          <w:rFonts w:ascii="Century" w:hAnsi="Century"/>
          <w:bCs/>
          <w:sz w:val="24"/>
          <w:szCs w:val="24"/>
        </w:rPr>
        <w:t>4620985600:12:005:0116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53A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53A8D">
        <w:rPr>
          <w:rFonts w:ascii="Century" w:hAnsi="Century"/>
          <w:bCs/>
          <w:sz w:val="24"/>
          <w:szCs w:val="24"/>
        </w:rPr>
        <w:t>вул. Кашарня, 10А,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53A8D">
        <w:rPr>
          <w:rFonts w:ascii="Century" w:hAnsi="Century"/>
          <w:bCs/>
          <w:sz w:val="24"/>
          <w:szCs w:val="24"/>
        </w:rPr>
        <w:t>Дем’янчук Надії Луківні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53A8D">
        <w:rPr>
          <w:rFonts w:ascii="Century" w:hAnsi="Century"/>
          <w:bCs/>
          <w:sz w:val="24"/>
          <w:szCs w:val="24"/>
        </w:rPr>
        <w:t>0,1722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53A8D">
        <w:rPr>
          <w:rFonts w:ascii="Century" w:hAnsi="Century"/>
          <w:bCs/>
          <w:sz w:val="24"/>
          <w:szCs w:val="24"/>
        </w:rPr>
        <w:t>4620985600:12:005:0116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53A8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53A8D">
        <w:rPr>
          <w:rFonts w:ascii="Century" w:hAnsi="Century"/>
          <w:bCs/>
          <w:sz w:val="24"/>
          <w:szCs w:val="24"/>
        </w:rPr>
        <w:t>вул. Кашарня, 10А,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53A8D">
        <w:rPr>
          <w:rFonts w:ascii="Century" w:hAnsi="Century"/>
          <w:bCs/>
          <w:sz w:val="24"/>
          <w:szCs w:val="24"/>
        </w:rPr>
        <w:t>Дем’янчук Надії Луківні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A8D" w:rsidRDefault="00D53A8D" w:rsidP="00381483">
      <w:pPr>
        <w:spacing w:after="0" w:line="240" w:lineRule="auto"/>
      </w:pPr>
      <w:r>
        <w:separator/>
      </w:r>
    </w:p>
  </w:endnote>
  <w:endnote w:type="continuationSeparator" w:id="0">
    <w:p w:rsidR="00D53A8D" w:rsidRDefault="00D53A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A8D" w:rsidRDefault="00D53A8D" w:rsidP="00381483">
      <w:pPr>
        <w:spacing w:after="0" w:line="240" w:lineRule="auto"/>
      </w:pPr>
      <w:r>
        <w:separator/>
      </w:r>
    </w:p>
  </w:footnote>
  <w:footnote w:type="continuationSeparator" w:id="0">
    <w:p w:rsidR="00D53A8D" w:rsidRDefault="00D53A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53A8D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